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70"/>
        <w:tblW w:w="3969" w:type="dxa"/>
        <w:tblInd w:w="59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969"/>
      </w:tblGrid>
      <w:tr>
        <w:trPr/>
        <w:tblPrEx/>
        <w:tc>
          <w:tcPr>
            <w:tcW w:w="3969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           «УТВЕРЖДАЮ»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Заместитель главного инженера – начальник ДПБиПК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highlight w:val="none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highlight w:val="none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highlight w:val="none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highlight w:val="none"/>
              </w:rPr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___________________ Д.В. Янус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/>
                <w:sz w:val="14"/>
                <w:szCs w:val="14"/>
              </w:rPr>
            </w:r>
            <w:r>
              <w:rPr>
                <w:rFonts w:ascii="Times New Roman" w:hAnsi="Times New Roman" w:eastAsia="Times New Roman"/>
                <w:sz w:val="14"/>
                <w:szCs w:val="14"/>
              </w:rPr>
            </w:r>
            <w:r>
              <w:rPr>
                <w:rFonts w:ascii="Times New Roman" w:hAnsi="Times New Roman" w:eastAsia="Times New Roman"/>
                <w:sz w:val="14"/>
                <w:szCs w:val="14"/>
              </w:rPr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«_____» _______________ 2025 г.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ind w:firstLine="705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spacing w:after="0" w:line="240" w:lineRule="auto"/>
        <w:ind w:firstLine="705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на поставку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материалов по пожарной безопасности для структурных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spacing w:after="0" w:line="240" w:lineRule="auto"/>
        <w:ind w:firstLine="705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подразделений АО «Россети Янтарь»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</w:p>
    <w:p>
      <w:pPr>
        <w:spacing w:after="0"/>
        <w:ind w:firstLine="705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numId w:val="5"/>
          <w:ilvl w:val="0"/>
        </w:numPr>
        <w:tabs>
          <w:tab w:val="left" w:pos="1134" w:leader="none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Общая часть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tabs>
          <w:tab w:val="left" w:pos="993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Янтарь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» (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Покупатель) производит закупку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материалов по пожарной безопасности в целях обеспечения пожарной безопасности структурных подразделений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Покупателя (далее – товар, продукция)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tabs>
          <w:tab w:val="left" w:pos="993" w:leader="none"/>
        </w:tabs>
        <w:spacing w:after="0"/>
        <w:ind w:firstLine="709"/>
        <w:contextualSpacing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tabs>
          <w:tab w:val="left" w:pos="1134" w:leader="none"/>
        </w:tabs>
        <w:spacing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ab/>
        <w:t xml:space="preserve">Предмет закупочной процедуры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Поставщик обеспечивает поставку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товара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в соответствии с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номенклатурой и количеством, указанным в Приложении 1 к настоящему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техническому заданию (далее –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ТЗ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 на склады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получателей, указанных в Приложении 2 к настоящему ТЗ.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0"/>
        <w:ind w:firstLine="709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tabs>
          <w:tab w:val="left" w:pos="1134" w:leader="none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</w:t>
        <w:tab/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Требования, предъявляемые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к закупке огнетушителей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tabs>
          <w:tab w:val="left" w:pos="1134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  <w:lang w:eastAsia="ru-RU"/>
        </w:rPr>
        <w:t xml:space="preserve">3.1.</w:t>
        <w:tab/>
        <w:t xml:space="preserve">Общие требования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Поста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вляемый 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овар должен быть сертифицирован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 области пожарной безопасности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Поставляемый товар должен быть новым тов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аром (товаром, который не был в употреблен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ии, не прошел восстановление, замену составных частей, восстановление потребительских свойств). Поставщик одновременно с товаром передает документы, подтверждающие качество товара и его соответствие требованиям док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ументации. При обнаружении в пределах гарантийного срока в поставленном товаре дефектов По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ставщик обязан заменить такой товар в течение 3 рабочих дней с даты обнаружения дефектов. Расходы по возврату товара, замене производятся за счет средств Поставщика.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u w:val="single"/>
          <w:lang w:bidi="en-US"/>
        </w:rPr>
        <w:t xml:space="preserve">3.2.</w:t>
        <w:tab/>
        <w:t xml:space="preserve">Требования к огнетушителям: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наличие гибкого шланга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/раструба (если предусмотрено конструкцией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возможность перезарядки;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срок службы до перезарядки – 5 лет;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общий срок эксплуатации – 10 лет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гарантийный срок эксплуатации – 48 месяцев с даты изготовления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  <w:t xml:space="preserve">3.3.</w:t>
        <w:tab/>
        <w:t xml:space="preserve">Требования к документации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  <w:t xml:space="preserve">: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сертификат о соответствии огнетушителей требованиям ТР ЕАЭС 043/2017 (копия);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сертификат (декларация) о соответствии баллонов огнетушителей требованиям Технического регламента таможенного союза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ТР ТС 032/2013</w:t>
      </w:r>
      <w:r>
        <w:rPr>
          <w:rFonts w:ascii="Times New Roman" w:hAnsi="Times New Roman" w:eastAsia="Times New Roman" w:cs="Times New Roman"/>
          <w:sz w:val="26"/>
          <w:szCs w:val="26"/>
        </w:rPr>
        <w:br/>
        <w:t xml:space="preserve">«О безопасности оборудования, работающего под избыточным давлением» (копия);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паспорт на готовое изделие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руководство по эксплуатации.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shd w:val="nil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br w:type="page" w:clear="all"/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  <w:t xml:space="preserve">3.4.</w:t>
        <w:tab/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  <w:t xml:space="preserve">ребования к функциональным, техническим качественным и эксплуатационным характеристикам огнетушителей.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singl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single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a"/>
          <w:sz w:val="16"/>
          <w:szCs w:val="16"/>
          <w:highlight w:val="none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sz w:val="16"/>
          <w:szCs w:val="16"/>
          <w:highlight w:val="none"/>
          <w:u w:val="single"/>
        </w:rPr>
      </w:r>
      <w:r>
        <w:rPr>
          <w:rFonts w:ascii="Times New Roman" w:hAnsi="Times New Roman" w:cs="Times New Roman"/>
          <w:b w:val="0"/>
          <w:bCs w:val="0"/>
          <w:color w:val="00000a"/>
          <w:sz w:val="16"/>
          <w:szCs w:val="16"/>
          <w:highlight w:val="none"/>
          <w:u w:val="single"/>
        </w:rPr>
      </w:r>
      <w:r>
        <w:rPr>
          <w:rFonts w:ascii="Times New Roman" w:hAnsi="Times New Roman" w:cs="Times New Roman"/>
          <w:b w:val="0"/>
          <w:bCs w:val="0"/>
          <w:color w:val="00000a"/>
          <w:sz w:val="16"/>
          <w:szCs w:val="16"/>
          <w:highlight w:val="none"/>
          <w:u w:val="single"/>
        </w:rPr>
      </w:r>
    </w:p>
    <w:tbl>
      <w:tblPr>
        <w:tblW w:w="9818" w:type="dxa"/>
        <w:jc w:val="center"/>
        <w:tblLayout w:type="fixed"/>
        <w:tblLook w:val="01E0" w:firstRow="1" w:lastRow="1" w:firstColumn="1" w:lastColumn="1" w:noHBand="0" w:noVBand="0"/>
      </w:tblPr>
      <w:tblGrid>
        <w:gridCol w:w="737"/>
        <w:gridCol w:w="5386"/>
        <w:gridCol w:w="3695"/>
      </w:tblGrid>
      <w:tr>
        <w:trPr>
          <w:jc w:val="center"/>
          <w:trHeight w:val="449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widowControl w:val="off"/>
              <w:spacing w:after="0" w:afterAutospac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  <w:t xml:space="preserve">п/п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Наименование показателей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Требуемое значение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jc w:val="center"/>
          <w:trHeight w:val="61"/>
        </w:trPr>
        <w:tblPrEx/>
        <w:tc>
          <w:tcPr>
            <w:tcW w:w="9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d9d9d9" w:themeFill="background1" w:themeFillShade="D9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2. Огнетушитель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порошковый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ОП-2,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-4, О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-5, ОП-9, ОП-10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rPr>
          <w:jc w:val="center"/>
          <w:trHeight w:val="228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Вид (по типу огнетушащего вещества)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орошковый (ОП)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jc w:val="center"/>
          <w:trHeight w:val="157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1.2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Вид огнетушащего порошка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АВСЕ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jc w:val="center"/>
          <w:trHeight w:val="512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1.3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Номинальная масса огнетушащего вещества, кг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ОП-2 - не менее 2,01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для ОП-4 - н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е менее 5,2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ОП-5 -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6,6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 xml:space="preserve">для ОП-9 – не менее 9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 xml:space="preserve">для ОП-10 - не менее 10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jc w:val="center"/>
          <w:trHeight w:val="321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1.4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Огнетушащая способность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(ранг тушения модельного очага пожара класса A)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для ОП-2 - 0,7А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для ОП-4 - 2А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для ОП-5 -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2А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  <w:t xml:space="preserve">для ОП-9 - 4А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  <w:t xml:space="preserve">для ОП-10 - 4А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jc w:val="center"/>
          <w:trHeight w:val="474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1.5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Огнетушащая способность (ранг тушения модельного очага пожара класса B)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ОП-2 - 21В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для ОП-4 -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55В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ОП-5 - 70В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ОП-9 - 113В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 xml:space="preserve">для ОП-10 - 144В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jc w:val="center"/>
          <w:trHeight w:val="61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1.6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hd w:val="clear" w:color="auto" w:fill="ffffff"/>
              <w:spacing w:after="0" w:afterAutospacing="0"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Тип по принципу создания избыточного давления газа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акачной (з)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jc w:val="center"/>
          <w:trHeight w:val="272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1.7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Тип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ере</w:t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bookmarkEnd w:id="0"/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носной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jc w:val="center"/>
          <w:trHeight w:val="343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1.8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Назначение по классу пожара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A, B, C, E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</w:tr>
      <w:tr>
        <w:trPr>
          <w:jc w:val="center"/>
          <w:trHeight w:val="273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1.9.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Возможность перезарядки: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ерезаряжаемый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jc w:val="center"/>
          <w:trHeight w:val="628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1.10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Номинальный объем огнетушащего вещества, л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для ОП-2 - не менее 2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для ОП-4 - н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е менее 4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для ОП-5 - не менее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  <w:t xml:space="preserve">для ОП-9 – не менее 9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для ОП-10 - не менее 10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</w:tr>
      <w:tr>
        <w:trPr>
          <w:jc w:val="center"/>
          <w:trHeight w:val="295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1.11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Манометр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в зависимости от изготовления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изделия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164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1.12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ломба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наличие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235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1.13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аспылитель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наличие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61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1.14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Масса полностью заправленного, кг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ОП-2 - не более 3,2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ОП-4 - не более 4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ОП-5 - не более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 xml:space="preserve">для ОП-9 – не более 12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ОП-10 - не более 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541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1.15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Хранение и использование в температурном диапазоне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от -40 до +50 градусов по Цельсию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269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1.16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Рабочее давление, МПа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не менее 1,4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0,2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482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1.17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Полный срок службы (включая перезарядку), лет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не менее 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351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1.18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Гарантийный срок эксплуатации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48 месяцев с даты выпуска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249"/>
        </w:trPr>
        <w:tblPrEx/>
        <w:tc>
          <w:tcPr>
            <w:tcW w:w="9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d9d9d9" w:themeFill="background1" w:themeFillShade="D9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2. Огнетушитель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углекислотный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 ОУ-2, ОУ-3, О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-4, О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 xml:space="preserve">-5, ОУ-8, ОУ-25, ОУ-40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rPr>
          <w:jc w:val="center"/>
          <w:trHeight w:val="355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2.1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Вид огнетушащего вещества (ОТВ)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двуокись углерода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</w:tr>
      <w:tr>
        <w:trPr>
          <w:jc w:val="center"/>
          <w:trHeight w:val="123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2.2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Назначение по классу пожара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В, С, Е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</w:tr>
      <w:tr>
        <w:trPr>
          <w:jc w:val="center"/>
          <w:trHeight w:val="174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2.3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Масса заряда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кг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ОУ-2 - не менее 1,9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 xml:space="preserve">для ОУ-3 - не менее 2,85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для ОУ-4 - не менее 3,8</w:t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ОУ-5 - не менее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4,75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для ОУ-8 - не менее 7,6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ОУ-25 – не менее 25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ОУ-40 – не менее 40 кг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</w:tr>
      <w:tr>
        <w:trPr>
          <w:jc w:val="center"/>
          <w:trHeight w:val="240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2.4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Рабочее давление в корпусе огнетушителя, МПа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5,88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</w:tr>
      <w:tr>
        <w:trPr>
          <w:jc w:val="center"/>
          <w:trHeight w:val="37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2.5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Продолжительность подачи ОТВ, с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8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</w:tr>
      <w:tr>
        <w:trPr>
          <w:jc w:val="center"/>
          <w:trHeight w:val="0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2.6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Длина струи ОТВ, м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 3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</w:tr>
      <w:tr>
        <w:trPr>
          <w:jc w:val="center"/>
          <w:trHeight w:val="28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2.7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Манометр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в зависимости от изготовления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изделия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34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2.8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ломба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наличие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105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2.9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Шланг с раструбом в сборе (длина 04, метра)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наличие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885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2.10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Огнетушащая способность (минимальный ранг модельного очага пожара, тушение которого обеспечивается огнетушителем):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- по классу В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ОУ-2 - 21В</w:t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ОУ-3 - 34В</w:t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для ОУ-4 - 34В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для ОУ-5 - 55В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ОУ-8 - 70В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ОУ-25 - 89В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ОУ-40 - 89В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</w:tr>
      <w:tr>
        <w:trPr>
          <w:jc w:val="center"/>
          <w:trHeight w:val="32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2.11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Масса заряженного огнетушителя полная, кг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ОУ-2 - не менее 3</w:t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ОУ-3 - не менее 10,5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для ОУ-4 - не менее 13,5</w:t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для ОУ-5 - не менее 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ОУ-8 - не менее 24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ОУ-25 – не более 105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  <w:highlight w:val="none"/>
              </w:rPr>
              <w:t xml:space="preserve">для ОУ-40 – не более 150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</w:tr>
      <w:tr>
        <w:trPr>
          <w:jc w:val="center"/>
          <w:trHeight w:val="0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2.12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Хранение и использование в температурном диапазоне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от -40 до +50 градусов по Цельсию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jc w:val="center"/>
          <w:trHeight w:val="104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2.13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Назначенный срок службы огнетушителя, лет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  <w:tc>
          <w:tcPr>
            <w:tcW w:w="3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10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</w:r>
          </w:p>
          <w:p>
            <w:pPr>
              <w:spacing w:before="15" w:after="0" w:afterAutospacing="0" w:line="228" w:lineRule="auto"/>
              <w:jc w:val="left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6"/>
                <w:szCs w:val="26"/>
              </w:rPr>
              <w:t xml:space="preserve">(для ОП-40 - не менее 5 лет)</w:t>
            </w:r>
            <w:r>
              <w:rPr>
                <w:rFonts w:ascii="Times New Roman" w:hAnsi="Times New Roman" w:cs="Times New Roman"/>
                <w:spacing w:val="2"/>
              </w:rPr>
            </w:r>
            <w:r>
              <w:rPr>
                <w:rFonts w:ascii="Times New Roman" w:hAnsi="Times New Roman" w:cs="Times New Roman"/>
                <w:spacing w:val="2"/>
              </w:rPr>
            </w:r>
          </w:p>
        </w:tc>
      </w:tr>
      <w:tr>
        <w:trPr>
          <w:jc w:val="center"/>
          <w:trHeight w:val="457"/>
        </w:trPr>
        <w:tblPrEx/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6"/>
                <w:szCs w:val="26"/>
              </w:rPr>
              <w:t xml:space="preserve">2.14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5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shd w:val="clear" w:color="auto" w:fill="ffffff"/>
              </w:rPr>
              <w:t xml:space="preserve">Гарантийный срок эксплуатации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tcW w:w="3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48 месяцев с даты выпуска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eastAsia="Times New Roman" w:cs="Times New Roman"/>
          <w:color w:val="000000"/>
          <w:sz w:val="16"/>
          <w:szCs w:val="16"/>
          <w:highlight w:val="none"/>
          <w:lang w:eastAsia="zh-CN"/>
        </w:rPr>
      </w:r>
      <w:r>
        <w:rPr>
          <w:rFonts w:ascii="Times New Roman" w:hAnsi="Times New Roman" w:cs="Times New Roman"/>
          <w:color w:val="000000"/>
          <w:sz w:val="16"/>
          <w:szCs w:val="16"/>
        </w:rPr>
      </w:r>
      <w:r>
        <w:rPr>
          <w:rFonts w:ascii="Times New Roman" w:hAnsi="Times New Roman" w:cs="Times New Roman"/>
          <w:color w:val="000000"/>
          <w:sz w:val="16"/>
          <w:szCs w:val="16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eastAsia="zh-CN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zh-CN"/>
        </w:rPr>
        <w:t xml:space="preserve">Примечание: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zh-CN"/>
        </w:rPr>
        <w:t xml:space="preserve"> п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zh-CN"/>
        </w:rPr>
        <w:t xml:space="preserve">ри сост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zh-CN"/>
        </w:rPr>
        <w:t xml:space="preserve">авлении описания объекта закупки показателей, требований, условных обозначений и терминологии, касающихся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zh-CN"/>
        </w:rPr>
        <w:t xml:space="preserve">использован «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zh-CN"/>
        </w:rPr>
        <w:t xml:space="preserve">ГОСТ Р 51057-2001. Техника пожарная. Огнетушители переносные. Общие технические требования. Методы испытаний».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eastAsia="zh-CN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eastAsia="zh-CN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1134" w:leader="none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</w:t>
        <w:tab/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Требования, предъявляемые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к знакам пожарной безопасности (знакам безопасности)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tabs>
          <w:tab w:val="left" w:pos="1134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  <w:lang w:eastAsia="ru-RU"/>
        </w:rPr>
        <w:t xml:space="preserve">4.1.</w:t>
        <w:tab/>
        <w:t xml:space="preserve">Общие требования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Поставляемый товар должен быть новым тов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аром (товаром, который не был в употреблен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ии, не прошел восстановление, замену составных частей, восстановление потребительских свойств). Поставщик одновременно с товаром передает документы, подтверждающие качество товара и его соответствие требованиям док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ументации. При обнаружении в пределах гарантийного срока в поставленном товаре дефектов По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ставщик обязан заменить такой товар в течение 3 рабочих дней с даты обнаружения дефектов. Расходы по возврату товара, замене производятся за счет средств Поставщика.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71"/>
        <w:tabs>
          <w:tab w:val="left" w:pos="1134" w:leader="none"/>
        </w:tabs>
        <w:spacing w:before="0" w:after="0" w:afterAutospacing="0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white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single"/>
        </w:rPr>
        <w:t xml:space="preserve">4.2.</w:t>
        <w:tab/>
        <w:t xml:space="preserve">Требования к исполнению знаков безопасности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white"/>
          <w:u w:val="singl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white"/>
          <w:u w:val="singl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none"/>
        </w:rPr>
        <w:t xml:space="preserve">Знаки</w:t>
      </w:r>
      <w:r>
        <w:rPr>
          <w:rFonts w:ascii="Times New Roman" w:hAnsi="Times New Roman" w:eastAsia="Times New Roman" w:cs="Times New Roman"/>
          <w:sz w:val="26"/>
          <w:szCs w:val="26"/>
          <w:u w:val="none"/>
          <w:lang w:eastAsia="zh-CN" w:bidi="hi-IN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zh-CN" w:bidi="hi-IN"/>
        </w:rPr>
        <w:t xml:space="preserve">безопасности должны быть выполнены в строгом соответствии с требованиями </w:t>
      </w:r>
      <w:r>
        <w:rPr>
          <w:rFonts w:ascii="Times New Roman" w:hAnsi="Times New Roman" w:eastAsia="Times New Roman" w:cs="Times New Roman"/>
          <w:sz w:val="26"/>
          <w:szCs w:val="26"/>
          <w:lang w:eastAsia="zh-CN" w:bidi="hi-IN"/>
        </w:rPr>
        <w:t xml:space="preserve">ГОСТ 12.4.026-2015.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испытаний.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singl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singl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singl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singl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singl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single"/>
        </w:rPr>
      </w:r>
    </w:p>
    <w:p>
      <w:pPr>
        <w:pStyle w:val="871"/>
        <w:tabs>
          <w:tab w:val="left" w:pos="1276" w:leader="none"/>
        </w:tabs>
        <w:spacing w:before="0" w:after="0" w:afterAutospacing="0"/>
        <w:ind w:firstLine="709"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  <w:u w:val="none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  <w:u w:val="none"/>
        </w:rPr>
        <w:t xml:space="preserve">5.</w:t>
        <w:tab/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Требования, предъявляемые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к пожарным щитам, ящикам для песка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  <w:u w:val="non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  <w:u w:val="none"/>
        </w:rPr>
      </w:r>
    </w:p>
    <w:p>
      <w:pPr>
        <w:tabs>
          <w:tab w:val="left" w:pos="1134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  <w:lang w:eastAsia="ru-RU"/>
        </w:rPr>
        <w:t xml:space="preserve">5.1.</w:t>
        <w:tab/>
        <w:t xml:space="preserve">Общие требования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u w:val="single"/>
        </w:rPr>
      </w:r>
    </w:p>
    <w:p>
      <w:pPr>
        <w:spacing w:after="0" w:afterAutospacing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Поставляемый товар должен быть новым тов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аром (товаром, который не был в употреблен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ии, не прошел восстановление, замену составных частей, восстановление потребительских свойств). Поставщик одновременно с товаром передает документы, подтверждающие качество товара и его соответствие требованиям док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ументации. При обнаружении в пределах гарантийного срока в поставленном товаре дефектов По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ставщик обязан заменить такой товар в течение 3 рабочих дней с даты обнаружения дефектов. Расходы по возврату товара, замене производятся за счет средств Поставщика.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71"/>
        <w:tabs>
          <w:tab w:val="left" w:pos="1134" w:leader="none"/>
        </w:tabs>
        <w:spacing w:before="0" w:after="0" w:afterAutospacing="0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white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single"/>
        </w:rPr>
        <w:t xml:space="preserve">5.2.</w:t>
        <w:tab/>
        <w:t xml:space="preserve">Требования к исполнению пожарных щитов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single"/>
        </w:rPr>
        <w:t xml:space="preserve">, ящиков с песком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white"/>
          <w:u w:val="singl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white"/>
          <w:u w:val="single"/>
        </w:rPr>
      </w:r>
    </w:p>
    <w:p>
      <w:pPr>
        <w:pStyle w:val="871"/>
        <w:shd w:val="clear" w:color="ffffff" w:themeColor="background1" w:fill="ffffff" w:themeFill="background1"/>
        <w:spacing w:before="0" w:after="0" w:afterAutospacing="0"/>
        <w:ind w:firstLine="709"/>
        <w:jc w:val="both"/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none"/>
        </w:rPr>
        <w:t xml:space="preserve">5.2.1.</w:t>
        <w:tab/>
        <w:t xml:space="preserve">Пожарные щиты и ящики для песка должны 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none"/>
          <w:u w:val="none"/>
        </w:rPr>
        <w:t xml:space="preserve">быть выполнены из металлических листов в строгом соответствии с требованиями 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white"/>
          <w:u w:val="none"/>
        </w:rPr>
        <w:t xml:space="preserve">ГОСТ 12.4.009-83. Межгосударственный стандарт. Пожарная техника для защиты объектов. Основные виды. Размещение и обслужив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white"/>
        </w:rPr>
        <w:t xml:space="preserve">ание.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none"/>
        </w:rPr>
      </w:r>
    </w:p>
    <w:p>
      <w:pPr>
        <w:pStyle w:val="871"/>
        <w:shd w:val="clear" w:color="ffffff" w:themeColor="background1" w:fill="ffffff" w:themeFill="background1"/>
        <w:spacing w:before="0" w:after="0" w:afterAutospacing="0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white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none"/>
        </w:rPr>
        <w:t xml:space="preserve">5.2.2.</w:t>
        <w:tab/>
        <w:t xml:space="preserve">Окраска указанных изделий должна быть выполнена в соответствии с требовани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white"/>
          <w:u w:val="none"/>
        </w:rPr>
        <w:t xml:space="preserve">ями </w:t>
      </w:r>
      <w:r>
        <w:rPr>
          <w:rFonts w:ascii="Times New Roman" w:hAnsi="Times New Roman" w:eastAsia="Times New Roman" w:cs="Times New Roman"/>
          <w:color w:val="000000"/>
          <w:spacing w:val="-4"/>
          <w:sz w:val="26"/>
          <w:szCs w:val="26"/>
          <w:highlight w:val="white"/>
        </w:rPr>
        <w:t xml:space="preserve">ГОСТ 19596-87. Государственный стандарт Союза ССР. Лопаты. Технические условия.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white"/>
          <w:u w:val="non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white"/>
          <w:u w:val="non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eastAsia="Times New Roman" w:cs="Times New Roman"/>
          <w:b w:val="0"/>
          <w:bCs w:val="0"/>
          <w:sz w:val="16"/>
          <w:szCs w:val="16"/>
          <w:highlight w:val="none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sz w:val="16"/>
          <w:szCs w:val="16"/>
          <w:highlight w:val="none"/>
          <w:u w:val="single"/>
        </w:rPr>
      </w:r>
      <w:r>
        <w:rPr>
          <w:rFonts w:ascii="Times New Roman" w:hAnsi="Times New Roman" w:eastAsia="Times New Roman" w:cs="Times New Roman"/>
          <w:b w:val="0"/>
          <w:bCs w:val="0"/>
          <w:sz w:val="16"/>
          <w:szCs w:val="16"/>
          <w:highlight w:val="none"/>
          <w:u w:val="single"/>
        </w:rPr>
      </w:r>
      <w:r>
        <w:rPr>
          <w:rFonts w:ascii="Times New Roman" w:hAnsi="Times New Roman" w:eastAsia="Times New Roman" w:cs="Times New Roman"/>
          <w:b w:val="0"/>
          <w:bCs w:val="0"/>
          <w:sz w:val="16"/>
          <w:szCs w:val="16"/>
          <w:highlight w:val="none"/>
          <w:u w:val="singl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highlight w:val="none"/>
          <w:u w:val="none"/>
          <w:lang w:eastAsia="zh-CN"/>
        </w:rPr>
        <w:t xml:space="preserve">6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highlight w:val="white"/>
          <w:u w:val="none"/>
          <w:lang w:eastAsia="zh-CN"/>
        </w:rPr>
        <w:t xml:space="preserve">.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highlight w:val="white"/>
          <w:u w:val="none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 xml:space="preserve">Требования к безопасности товара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singl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  <w:u w:val="singl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ребования к безопасности товара устанавливаются в соответствии со стандартами и техническими условиями изготовителя, нормативными правовыми актами, стандартами, нормами и регламентами Российской Федерации к поставляемому виду товара.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Товар должен быть новым, находиться в оригинальной упаковке изготовителя, исключающей возможное повреждение товара при его транспортировке и хранении, не бывшим в эксплуатации, без дефектов изготовления, не поврежденным.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16"/>
          <w:szCs w:val="16"/>
          <w:highlight w:val="white"/>
        </w:rPr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b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  <w:u w:val="none"/>
        </w:rPr>
        <w:t xml:space="preserve">7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 xml:space="preserve">Требования к упаковке товара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 xml:space="preserve">.</w:t>
      </w:r>
      <w:r>
        <w:rPr>
          <w:rFonts w:ascii="Times New Roman" w:hAnsi="Times New Roman" w:cs="Times New Roman"/>
          <w:b/>
          <w:highlight w:val="white"/>
        </w:rPr>
      </w:r>
      <w:r>
        <w:rPr>
          <w:rFonts w:ascii="Times New Roman" w:hAnsi="Times New Roman" w:cs="Times New Roman"/>
          <w:b/>
          <w:highlight w:val="whit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паковка товара и грузовая тара должны обеспечивать сохранность товара при транспортировке, при погрузо-разгрузочных работах к конечному месту эксплуатации и хранению.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Упаковка и маркировка товара должны соответствовать требованиям ГОСТ 17527-2020 «Упаковка. Термины и определения», ГОСТ 14192-96 «Маркировка грузов», импортного товара – международным стандартам упаковки.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Маркировка упаковки должна строго соответствовать маркировке товара и обеспечивать полную и однозначную идентификацию каждой единицы товара при его приемке.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sz w:val="16"/>
          <w:szCs w:val="16"/>
          <w:highlight w:val="white"/>
        </w:rPr>
      </w:pP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  <w:r>
        <w:rPr>
          <w:rFonts w:ascii="Times New Roman" w:hAnsi="Times New Roman" w:cs="Times New Roman"/>
          <w:sz w:val="16"/>
          <w:szCs w:val="16"/>
          <w:highlight w:val="white"/>
        </w:rPr>
      </w:r>
      <w:r>
        <w:rPr>
          <w:rFonts w:ascii="Times New Roman" w:hAnsi="Times New Roman" w:cs="Times New Roman"/>
          <w:sz w:val="16"/>
          <w:szCs w:val="16"/>
          <w:highlight w:val="whit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b/>
          <w:bCs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  <w:u w:val="none"/>
        </w:rPr>
        <w:t xml:space="preserve">8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 xml:space="preserve">Требования к гарантии качеств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u w:val="none"/>
        </w:rPr>
        <w:t xml:space="preserve">а.</w:t>
      </w:r>
      <w:r>
        <w:rPr>
          <w:rFonts w:ascii="Times New Roman" w:hAnsi="Times New Roman" w:cs="Times New Roman"/>
          <w:b/>
          <w:bCs/>
          <w:highlight w:val="white"/>
        </w:rPr>
      </w:r>
      <w:r>
        <w:rPr>
          <w:rFonts w:ascii="Times New Roman" w:hAnsi="Times New Roman" w:cs="Times New Roman"/>
          <w:b/>
          <w:bCs/>
          <w:highlight w:val="whit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Поставщик предоставляет гарантию качества в соответствии с нормативными документами, подтверждающими качество данного товара.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Гарантийный срок на товар составляет 12 месяцев и исчисляется со дня подписания Заказчиком товарной накладной.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В течение гарантийного срока Поставщик обязуется за свой счет проводить необходимый ремонт, устранение недостатков товара в соответствии с требованиями законодательства РФ.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pStyle w:val="871"/>
        <w:spacing w:before="0" w:after="0" w:afterAutospacing="0"/>
        <w:ind w:firstLine="709"/>
        <w:jc w:val="both"/>
        <w:rPr>
          <w:rFonts w:ascii="Times New Roman" w:hAnsi="Times New Roman" w:cs="Times New Roman"/>
          <w:sz w:val="16"/>
          <w:szCs w:val="16"/>
          <w:highlight w:val="white"/>
        </w:rPr>
      </w:pP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  <w:r>
        <w:rPr>
          <w:rFonts w:ascii="Times New Roman" w:hAnsi="Times New Roman" w:cs="Times New Roman"/>
          <w:sz w:val="16"/>
          <w:szCs w:val="16"/>
          <w:highlight w:val="white"/>
        </w:rPr>
      </w:r>
      <w:r>
        <w:rPr>
          <w:rFonts w:ascii="Times New Roman" w:hAnsi="Times New Roman" w:cs="Times New Roman"/>
          <w:sz w:val="16"/>
          <w:szCs w:val="16"/>
          <w:highlight w:val="white"/>
        </w:rPr>
      </w:r>
    </w:p>
    <w:p>
      <w:pPr>
        <w:tabs>
          <w:tab w:val="left" w:pos="993" w:leader="none"/>
          <w:tab w:val="left" w:pos="1134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  <w:tab/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Правила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приемки 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tabs>
          <w:tab w:val="left" w:pos="709" w:leader="none"/>
          <w:tab w:val="left" w:pos="1560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товара осуществляется в соответствие с условиями договора поставки.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tabs>
          <w:tab w:val="left" w:pos="709" w:leader="none"/>
          <w:tab w:val="left" w:pos="1560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tabs>
          <w:tab w:val="left" w:pos="709" w:leader="none"/>
          <w:tab w:val="left" w:pos="1560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tabs>
          <w:tab w:val="left" w:pos="709" w:leader="none"/>
          <w:tab w:val="left" w:pos="1560" w:leader="none"/>
        </w:tabs>
        <w:spacing w:after="0" w:line="240" w:lineRule="auto"/>
        <w:ind w:firstLine="0"/>
        <w:jc w:val="both"/>
        <w:rPr>
          <w:rFonts w:ascii="Times New Roman" w:hAnsi="Times New Roman" w:eastAsia="Times New Roman" w:cs="Times New Roman"/>
          <w:sz w:val="26"/>
          <w:szCs w:val="26"/>
          <w:highlight w:val="yellow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  <w:t xml:space="preserve">Главный специалист ДПБиПК</w:t>
        <w:tab/>
        <w:tab/>
        <w:tab/>
        <w:tab/>
        <w:tab/>
        <w:tab/>
        <w:t xml:space="preserve">            В.А. Мартиновский</w:t>
      </w:r>
      <w:r>
        <w:rPr>
          <w:rFonts w:ascii="Times New Roman" w:hAnsi="Times New Roman" w:eastAsia="Times New Roman" w:cs="Times New Roman"/>
          <w:sz w:val="26"/>
          <w:szCs w:val="26"/>
          <w:highlight w:val="yellow"/>
        </w:rPr>
      </w:r>
      <w:r>
        <w:rPr>
          <w:rFonts w:ascii="Times New Roman" w:hAnsi="Times New Roman" w:eastAsia="Times New Roman" w:cs="Times New Roman"/>
          <w:sz w:val="26"/>
          <w:szCs w:val="26"/>
          <w:highlight w:val="yellow"/>
        </w:rPr>
      </w:r>
    </w:p>
    <w:sectPr>
      <w:footnotePr/>
      <w:endnotePr/>
      <w:type w:val="nextPage"/>
      <w:pgSz w:w="11906" w:h="16838" w:orient="portrait"/>
      <w:pgMar w:top="1134" w:right="567" w:bottom="709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99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12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6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7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825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38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880" w:hanging="180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333333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333333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333333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333333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333333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333333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333333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333333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333333"/>
        <w:sz w:val="21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Heading 1"/>
    <w:basedOn w:val="856"/>
    <w:next w:val="856"/>
    <w:link w:val="682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2">
    <w:name w:val="Heading 1 Char"/>
    <w:basedOn w:val="857"/>
    <w:link w:val="681"/>
    <w:uiPriority w:val="9"/>
    <w:rPr>
      <w:rFonts w:ascii="Arial" w:hAnsi="Arial" w:eastAsia="Arial" w:cs="Arial"/>
      <w:sz w:val="40"/>
      <w:szCs w:val="40"/>
    </w:rPr>
  </w:style>
  <w:style w:type="paragraph" w:styleId="683">
    <w:name w:val="Heading 2"/>
    <w:basedOn w:val="856"/>
    <w:next w:val="856"/>
    <w:link w:val="684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4">
    <w:name w:val="Heading 2 Char"/>
    <w:basedOn w:val="857"/>
    <w:link w:val="683"/>
    <w:uiPriority w:val="9"/>
    <w:rPr>
      <w:rFonts w:ascii="Arial" w:hAnsi="Arial" w:eastAsia="Arial" w:cs="Arial"/>
      <w:sz w:val="34"/>
    </w:rPr>
  </w:style>
  <w:style w:type="paragraph" w:styleId="685">
    <w:name w:val="Heading 3"/>
    <w:basedOn w:val="856"/>
    <w:next w:val="856"/>
    <w:link w:val="686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6">
    <w:name w:val="Heading 3 Char"/>
    <w:basedOn w:val="857"/>
    <w:link w:val="685"/>
    <w:uiPriority w:val="9"/>
    <w:rPr>
      <w:rFonts w:ascii="Arial" w:hAnsi="Arial" w:eastAsia="Arial" w:cs="Arial"/>
      <w:sz w:val="30"/>
      <w:szCs w:val="30"/>
    </w:rPr>
  </w:style>
  <w:style w:type="paragraph" w:styleId="687">
    <w:name w:val="Heading 4"/>
    <w:basedOn w:val="856"/>
    <w:next w:val="856"/>
    <w:link w:val="688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basedOn w:val="857"/>
    <w:link w:val="687"/>
    <w:uiPriority w:val="9"/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856"/>
    <w:next w:val="856"/>
    <w:link w:val="69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basedOn w:val="857"/>
    <w:link w:val="689"/>
    <w:uiPriority w:val="9"/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856"/>
    <w:next w:val="856"/>
    <w:link w:val="692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basedOn w:val="857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856"/>
    <w:next w:val="856"/>
    <w:link w:val="694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basedOn w:val="857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856"/>
    <w:next w:val="856"/>
    <w:link w:val="696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basedOn w:val="857"/>
    <w:link w:val="695"/>
    <w:uiPriority w:val="9"/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856"/>
    <w:next w:val="856"/>
    <w:link w:val="698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basedOn w:val="857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6"/>
    <w:next w:val="856"/>
    <w:link w:val="701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01">
    <w:name w:val="Title Char"/>
    <w:basedOn w:val="857"/>
    <w:link w:val="700"/>
    <w:uiPriority w:val="10"/>
    <w:rPr>
      <w:sz w:val="48"/>
      <w:szCs w:val="48"/>
    </w:rPr>
  </w:style>
  <w:style w:type="paragraph" w:styleId="702">
    <w:name w:val="Subtitle"/>
    <w:basedOn w:val="856"/>
    <w:next w:val="856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basedOn w:val="857"/>
    <w:link w:val="702"/>
    <w:uiPriority w:val="11"/>
    <w:rPr>
      <w:sz w:val="24"/>
      <w:szCs w:val="24"/>
    </w:rPr>
  </w:style>
  <w:style w:type="paragraph" w:styleId="704">
    <w:name w:val="Quote"/>
    <w:basedOn w:val="856"/>
    <w:next w:val="856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6"/>
    <w:next w:val="856"/>
    <w:link w:val="70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paragraph" w:styleId="708">
    <w:name w:val="Header"/>
    <w:basedOn w:val="856"/>
    <w:link w:val="70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9">
    <w:name w:val="Header Char"/>
    <w:basedOn w:val="857"/>
    <w:link w:val="708"/>
    <w:uiPriority w:val="99"/>
  </w:style>
  <w:style w:type="paragraph" w:styleId="710">
    <w:name w:val="Footer"/>
    <w:basedOn w:val="856"/>
    <w:link w:val="71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11">
    <w:name w:val="Footer Char"/>
    <w:basedOn w:val="857"/>
    <w:link w:val="710"/>
    <w:uiPriority w:val="99"/>
  </w:style>
  <w:style w:type="paragraph" w:styleId="712">
    <w:name w:val="Caption"/>
    <w:basedOn w:val="856"/>
    <w:next w:val="856"/>
    <w:link w:val="7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712"/>
    <w:link w:val="710"/>
    <w:uiPriority w:val="99"/>
  </w:style>
  <w:style w:type="table" w:styleId="714">
    <w:name w:val="Table Grid Light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Plain Table 1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2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8">
    <w:name w:val="Plain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Plain Table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0">
    <w:name w:val="Grid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1">
    <w:name w:val="Grid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5">
    <w:name w:val="Grid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6">
    <w:name w:val="Grid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7">
    <w:name w:val="Grid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8">
    <w:name w:val="Grid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9">
    <w:name w:val="Grid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0">
    <w:name w:val="Grid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1">
    <w:name w:val="Grid Table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2">
    <w:name w:val="Grid Table 4 - Accent 1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3">
    <w:name w:val="Grid Table 4 - Accent 2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4">
    <w:name w:val="Grid Table 4 - Accent 3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5">
    <w:name w:val="Grid Table 4 - Accent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6">
    <w:name w:val="Grid Table 4 - Accent 5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7">
    <w:name w:val="Grid Table 4 - Accent 6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8">
    <w:name w:val="Grid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49">
    <w:name w:val="Grid Table 5 Dark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750">
    <w:name w:val="Grid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751">
    <w:name w:val="Grid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752">
    <w:name w:val="Grid Table 5 Dark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753">
    <w:name w:val="Grid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754">
    <w:name w:val="Grid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755">
    <w:name w:val="Grid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6">
    <w:name w:val="Grid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7">
    <w:name w:val="Grid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8">
    <w:name w:val="Grid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9">
    <w:name w:val="Grid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0">
    <w:name w:val="Grid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1">
    <w:name w:val="Grid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3">
    <w:name w:val="Grid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4">
    <w:name w:val="Grid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5">
    <w:name w:val="Grid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6">
    <w:name w:val="Grid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7">
    <w:name w:val="Grid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8">
    <w:name w:val="Grid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9">
    <w:name w:val="List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7">
    <w:name w:val="List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8">
    <w:name w:val="List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9">
    <w:name w:val="List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0">
    <w:name w:val="List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1">
    <w:name w:val="List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2">
    <w:name w:val="List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3">
    <w:name w:val="List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5">
    <w:name w:val="List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6">
    <w:name w:val="List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7">
    <w:name w:val="List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8">
    <w:name w:val="List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9">
    <w:name w:val="List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0">
    <w:name w:val="List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1">
    <w:name w:val="List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2">
    <w:name w:val="List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3">
    <w:name w:val="List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4">
    <w:name w:val="List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5">
    <w:name w:val="List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6">
    <w:name w:val="List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7">
    <w:name w:val="List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8">
    <w:name w:val="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0">
    <w:name w:val="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1">
    <w:name w:val="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2">
    <w:name w:val="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3">
    <w:name w:val="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4">
    <w:name w:val="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5">
    <w:name w:val="Bordered &amp; 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Bordered &amp; 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7">
    <w:name w:val="Bordered &amp; 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8">
    <w:name w:val="Bordered &amp; 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9">
    <w:name w:val="Bordered &amp; 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0">
    <w:name w:val="Bordered &amp; 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1">
    <w:name w:val="Bordered &amp; 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2">
    <w:name w:val="Bordered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3">
    <w:name w:val="Bordered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4">
    <w:name w:val="Bordered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5">
    <w:name w:val="Bordered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6">
    <w:name w:val="Bordered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7">
    <w:name w:val="Bordered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8">
    <w:name w:val="Bordered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9">
    <w:name w:val="footnote text"/>
    <w:basedOn w:val="856"/>
    <w:link w:val="840"/>
    <w:uiPriority w:val="99"/>
    <w:semiHidden/>
    <w:unhideWhenUsed/>
    <w:pPr>
      <w:spacing w:after="40" w:line="240" w:lineRule="auto"/>
    </w:pPr>
    <w:rPr>
      <w:sz w:val="18"/>
    </w:rPr>
  </w:style>
  <w:style w:type="character" w:styleId="840">
    <w:name w:val="Footnote Text Char"/>
    <w:link w:val="839"/>
    <w:uiPriority w:val="99"/>
    <w:rPr>
      <w:sz w:val="18"/>
    </w:rPr>
  </w:style>
  <w:style w:type="character" w:styleId="841">
    <w:name w:val="footnote reference"/>
    <w:basedOn w:val="857"/>
    <w:uiPriority w:val="99"/>
    <w:unhideWhenUsed/>
    <w:rPr>
      <w:vertAlign w:val="superscript"/>
    </w:rPr>
  </w:style>
  <w:style w:type="paragraph" w:styleId="842">
    <w:name w:val="endnote text"/>
    <w:basedOn w:val="856"/>
    <w:link w:val="843"/>
    <w:uiPriority w:val="99"/>
    <w:semiHidden/>
    <w:unhideWhenUsed/>
    <w:pPr>
      <w:spacing w:after="0" w:line="240" w:lineRule="auto"/>
    </w:pPr>
    <w:rPr>
      <w:sz w:val="20"/>
    </w:rPr>
  </w:style>
  <w:style w:type="character" w:styleId="843">
    <w:name w:val="Endnote Text Char"/>
    <w:link w:val="842"/>
    <w:uiPriority w:val="99"/>
    <w:rPr>
      <w:sz w:val="20"/>
    </w:rPr>
  </w:style>
  <w:style w:type="character" w:styleId="844">
    <w:name w:val="endnote reference"/>
    <w:basedOn w:val="857"/>
    <w:uiPriority w:val="99"/>
    <w:semiHidden/>
    <w:unhideWhenUsed/>
    <w:rPr>
      <w:vertAlign w:val="superscript"/>
    </w:rPr>
  </w:style>
  <w:style w:type="paragraph" w:styleId="845">
    <w:name w:val="toc 1"/>
    <w:basedOn w:val="856"/>
    <w:next w:val="856"/>
    <w:uiPriority w:val="39"/>
    <w:unhideWhenUsed/>
    <w:pPr>
      <w:spacing w:after="57"/>
      <w:ind w:left="0" w:right="0" w:firstLine="0"/>
    </w:pPr>
  </w:style>
  <w:style w:type="paragraph" w:styleId="846">
    <w:name w:val="toc 2"/>
    <w:basedOn w:val="856"/>
    <w:next w:val="856"/>
    <w:uiPriority w:val="39"/>
    <w:unhideWhenUsed/>
    <w:pPr>
      <w:spacing w:after="57"/>
      <w:ind w:left="283" w:right="0" w:firstLine="0"/>
    </w:pPr>
  </w:style>
  <w:style w:type="paragraph" w:styleId="847">
    <w:name w:val="toc 3"/>
    <w:basedOn w:val="856"/>
    <w:next w:val="856"/>
    <w:uiPriority w:val="39"/>
    <w:unhideWhenUsed/>
    <w:pPr>
      <w:spacing w:after="57"/>
      <w:ind w:left="567" w:right="0" w:firstLine="0"/>
    </w:pPr>
  </w:style>
  <w:style w:type="paragraph" w:styleId="848">
    <w:name w:val="toc 4"/>
    <w:basedOn w:val="856"/>
    <w:next w:val="856"/>
    <w:uiPriority w:val="39"/>
    <w:unhideWhenUsed/>
    <w:pPr>
      <w:spacing w:after="57"/>
      <w:ind w:left="850" w:right="0" w:firstLine="0"/>
    </w:pPr>
  </w:style>
  <w:style w:type="paragraph" w:styleId="849">
    <w:name w:val="toc 5"/>
    <w:basedOn w:val="856"/>
    <w:next w:val="856"/>
    <w:uiPriority w:val="39"/>
    <w:unhideWhenUsed/>
    <w:pPr>
      <w:spacing w:after="57"/>
      <w:ind w:left="1134" w:right="0" w:firstLine="0"/>
    </w:pPr>
  </w:style>
  <w:style w:type="paragraph" w:styleId="850">
    <w:name w:val="toc 6"/>
    <w:basedOn w:val="856"/>
    <w:next w:val="856"/>
    <w:uiPriority w:val="39"/>
    <w:unhideWhenUsed/>
    <w:pPr>
      <w:spacing w:after="57"/>
      <w:ind w:left="1417" w:right="0" w:firstLine="0"/>
    </w:pPr>
  </w:style>
  <w:style w:type="paragraph" w:styleId="851">
    <w:name w:val="toc 7"/>
    <w:basedOn w:val="856"/>
    <w:next w:val="856"/>
    <w:uiPriority w:val="39"/>
    <w:unhideWhenUsed/>
    <w:pPr>
      <w:spacing w:after="57"/>
      <w:ind w:left="1701" w:right="0" w:firstLine="0"/>
    </w:pPr>
  </w:style>
  <w:style w:type="paragraph" w:styleId="852">
    <w:name w:val="toc 8"/>
    <w:basedOn w:val="856"/>
    <w:next w:val="856"/>
    <w:uiPriority w:val="39"/>
    <w:unhideWhenUsed/>
    <w:pPr>
      <w:spacing w:after="57"/>
      <w:ind w:left="1984" w:right="0" w:firstLine="0"/>
    </w:pPr>
  </w:style>
  <w:style w:type="paragraph" w:styleId="853">
    <w:name w:val="toc 9"/>
    <w:basedOn w:val="856"/>
    <w:next w:val="856"/>
    <w:uiPriority w:val="39"/>
    <w:unhideWhenUsed/>
    <w:pPr>
      <w:spacing w:after="57"/>
      <w:ind w:left="2268" w:right="0" w:firstLine="0"/>
    </w:pPr>
  </w:style>
  <w:style w:type="paragraph" w:styleId="854">
    <w:name w:val="TOC Heading"/>
    <w:uiPriority w:val="39"/>
    <w:unhideWhenUsed/>
  </w:style>
  <w:style w:type="paragraph" w:styleId="855">
    <w:name w:val="table of figures"/>
    <w:basedOn w:val="856"/>
    <w:next w:val="856"/>
    <w:uiPriority w:val="99"/>
    <w:unhideWhenUsed/>
    <w:pPr>
      <w:spacing w:after="0" w:afterAutospacing="0"/>
    </w:pPr>
  </w:style>
  <w:style w:type="paragraph" w:styleId="856" w:default="1">
    <w:name w:val="Normal"/>
    <w:qFormat/>
    <w:pPr>
      <w:spacing w:after="200" w:line="276" w:lineRule="auto"/>
    </w:pPr>
  </w:style>
  <w:style w:type="character" w:styleId="857" w:default="1">
    <w:name w:val="Default Paragraph Font"/>
    <w:uiPriority w:val="1"/>
    <w:semiHidden/>
    <w:unhideWhenUsed/>
  </w:style>
  <w:style w:type="table" w:styleId="8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9" w:default="1">
    <w:name w:val="No List"/>
    <w:uiPriority w:val="99"/>
    <w:semiHidden/>
    <w:unhideWhenUsed/>
  </w:style>
  <w:style w:type="paragraph" w:styleId="860">
    <w:name w:val="List Paragraph"/>
    <w:basedOn w:val="856"/>
    <w:uiPriority w:val="34"/>
    <w:qFormat/>
    <w:pPr>
      <w:ind w:left="720"/>
      <w:contextualSpacing/>
    </w:pPr>
  </w:style>
  <w:style w:type="character" w:styleId="861">
    <w:name w:val="annotation reference"/>
    <w:basedOn w:val="857"/>
    <w:uiPriority w:val="99"/>
    <w:semiHidden/>
    <w:unhideWhenUsed/>
    <w:rPr>
      <w:sz w:val="16"/>
      <w:szCs w:val="16"/>
    </w:rPr>
  </w:style>
  <w:style w:type="paragraph" w:styleId="862">
    <w:name w:val="annotation text"/>
    <w:basedOn w:val="856"/>
    <w:link w:val="863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63" w:customStyle="1">
    <w:name w:val="Текст примечания Знак"/>
    <w:basedOn w:val="857"/>
    <w:link w:val="862"/>
    <w:uiPriority w:val="99"/>
    <w:semiHidden/>
    <w:rPr>
      <w:sz w:val="20"/>
      <w:szCs w:val="20"/>
    </w:rPr>
  </w:style>
  <w:style w:type="paragraph" w:styleId="864">
    <w:name w:val="annotation subject"/>
    <w:basedOn w:val="862"/>
    <w:next w:val="862"/>
    <w:link w:val="865"/>
    <w:uiPriority w:val="99"/>
    <w:semiHidden/>
    <w:unhideWhenUsed/>
    <w:rPr>
      <w:b/>
      <w:bCs/>
    </w:rPr>
  </w:style>
  <w:style w:type="character" w:styleId="865" w:customStyle="1">
    <w:name w:val="Тема примечания Знак"/>
    <w:basedOn w:val="863"/>
    <w:link w:val="864"/>
    <w:uiPriority w:val="99"/>
    <w:semiHidden/>
    <w:rPr>
      <w:b/>
      <w:bCs/>
      <w:sz w:val="20"/>
      <w:szCs w:val="20"/>
    </w:rPr>
  </w:style>
  <w:style w:type="paragraph" w:styleId="866">
    <w:name w:val="Balloon Text"/>
    <w:basedOn w:val="856"/>
    <w:link w:val="86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7" w:customStyle="1">
    <w:name w:val="Текст выноски Знак"/>
    <w:basedOn w:val="857"/>
    <w:link w:val="866"/>
    <w:uiPriority w:val="99"/>
    <w:semiHidden/>
    <w:rPr>
      <w:rFonts w:ascii="Tahoma" w:hAnsi="Tahoma" w:cs="Tahoma"/>
      <w:sz w:val="16"/>
      <w:szCs w:val="16"/>
    </w:rPr>
  </w:style>
  <w:style w:type="character" w:styleId="868">
    <w:name w:val="Hyperlink"/>
    <w:uiPriority w:val="99"/>
    <w:rPr>
      <w:color w:val="0000ff"/>
      <w:u w:val="single"/>
    </w:rPr>
  </w:style>
  <w:style w:type="character" w:styleId="869">
    <w:name w:val="Emphasis"/>
    <w:basedOn w:val="857"/>
    <w:uiPriority w:val="20"/>
    <w:qFormat/>
    <w:rPr>
      <w:i/>
      <w:iCs/>
    </w:rPr>
  </w:style>
  <w:style w:type="table" w:styleId="870">
    <w:name w:val="Table Grid"/>
    <w:basedOn w:val="858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1" w:customStyle="1">
    <w:name w:val="Обычный1"/>
    <w:qFormat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100" w:beforeAutospacing="0" w:after="10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slizheva-as</cp:lastModifiedBy>
  <cp:revision>8</cp:revision>
  <dcterms:created xsi:type="dcterms:W3CDTF">2024-10-13T11:31:00Z</dcterms:created>
  <dcterms:modified xsi:type="dcterms:W3CDTF">2025-10-01T12:41:37Z</dcterms:modified>
</cp:coreProperties>
</file>